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D7" w:rsidRDefault="00BD03D7">
      <w:pPr>
        <w:pStyle w:val="ConsPlusNormal0"/>
        <w:jc w:val="both"/>
      </w:pPr>
    </w:p>
    <w:p w:rsidR="00BD03D7" w:rsidRDefault="00BD03D7">
      <w:pPr>
        <w:pStyle w:val="ConsPlusNormal0"/>
        <w:jc w:val="both"/>
      </w:pPr>
    </w:p>
    <w:p w:rsidR="00BD03D7" w:rsidRDefault="001D7442">
      <w:pPr>
        <w:pStyle w:val="ConsPlusNormal0"/>
        <w:jc w:val="right"/>
        <w:outlineLvl w:val="1"/>
      </w:pPr>
      <w:r>
        <w:t>Приложение N 6</w:t>
      </w:r>
    </w:p>
    <w:p w:rsidR="00BD03D7" w:rsidRDefault="001D7442">
      <w:pPr>
        <w:pStyle w:val="ConsPlusNormal0"/>
        <w:jc w:val="right"/>
      </w:pPr>
      <w:r>
        <w:t>к Территориальной программе</w:t>
      </w:r>
    </w:p>
    <w:p w:rsidR="00BD03D7" w:rsidRDefault="001D7442">
      <w:pPr>
        <w:pStyle w:val="ConsPlusNormal0"/>
        <w:jc w:val="right"/>
      </w:pPr>
      <w:r>
        <w:t>государственных гарантий бесплатного</w:t>
      </w:r>
    </w:p>
    <w:p w:rsidR="00BD03D7" w:rsidRDefault="001D7442">
      <w:pPr>
        <w:pStyle w:val="ConsPlusNormal0"/>
        <w:jc w:val="right"/>
      </w:pPr>
      <w:r>
        <w:t>оказания гражданам медицинской помощи</w:t>
      </w:r>
    </w:p>
    <w:p w:rsidR="00BD03D7" w:rsidRDefault="001D7442">
      <w:pPr>
        <w:pStyle w:val="ConsPlusNormal0"/>
        <w:jc w:val="right"/>
      </w:pPr>
      <w:r>
        <w:t>на 2025 год и на плановый период</w:t>
      </w:r>
    </w:p>
    <w:p w:rsidR="00BD03D7" w:rsidRDefault="001D7442">
      <w:pPr>
        <w:pStyle w:val="ConsPlusNormal0"/>
        <w:jc w:val="right"/>
      </w:pPr>
      <w:r>
        <w:t>2026 и 2027 годов</w:t>
      </w:r>
    </w:p>
    <w:p w:rsidR="00BD03D7" w:rsidRDefault="00BD03D7">
      <w:pPr>
        <w:pStyle w:val="ConsPlusNormal0"/>
        <w:jc w:val="both"/>
      </w:pPr>
    </w:p>
    <w:p w:rsidR="00BD03D7" w:rsidRDefault="001D7442">
      <w:pPr>
        <w:pStyle w:val="ConsPlusTitle0"/>
        <w:jc w:val="center"/>
      </w:pPr>
      <w:bookmarkStart w:id="0" w:name="P704"/>
      <w:bookmarkEnd w:id="0"/>
      <w:r>
        <w:t>ЦЕЛЕВЫЕ ЗНАЧЕНИЯ</w:t>
      </w:r>
    </w:p>
    <w:p w:rsidR="00BD03D7" w:rsidRDefault="001D7442">
      <w:pPr>
        <w:pStyle w:val="ConsPlusTitle0"/>
        <w:jc w:val="center"/>
      </w:pPr>
      <w:r>
        <w:t>КРИТЕРИЕВ ДОСТУПНОСТИ И КАЧЕСТВА МЕДИЦИНСКОЙ ПОМОЩИ,</w:t>
      </w:r>
    </w:p>
    <w:p w:rsidR="00BD03D7" w:rsidRDefault="001D7442">
      <w:pPr>
        <w:pStyle w:val="ConsPlusTitle0"/>
        <w:jc w:val="center"/>
      </w:pPr>
      <w:r>
        <w:t xml:space="preserve">ОКАЗЫВАЕМОЙ В РАМКАХ ПРОГРАММЫ </w:t>
      </w:r>
      <w:r>
        <w:t>ГОСГАРАНТИЙ</w:t>
      </w:r>
    </w:p>
    <w:p w:rsidR="00BD03D7" w:rsidRDefault="00BD03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D0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D7" w:rsidRDefault="00BD03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D7" w:rsidRDefault="00BD03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3D7" w:rsidRDefault="001D744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3D7" w:rsidRDefault="001D744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</w:t>
            </w:r>
          </w:p>
          <w:p w:rsidR="00BD03D7" w:rsidRDefault="001D7442">
            <w:pPr>
              <w:pStyle w:val="ConsPlusNormal0"/>
              <w:jc w:val="center"/>
            </w:pPr>
            <w:r>
              <w:rPr>
                <w:color w:val="392C69"/>
              </w:rPr>
              <w:t>от 25.03.2025 N 107)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D7" w:rsidRDefault="00BD03D7">
            <w:pPr>
              <w:pStyle w:val="ConsPlusNormal0"/>
            </w:pPr>
          </w:p>
        </w:tc>
      </w:tr>
    </w:tbl>
    <w:p w:rsidR="00BD03D7" w:rsidRDefault="00BD03D7">
      <w:pPr>
        <w:pStyle w:val="ConsPlusNormal0"/>
        <w:jc w:val="both"/>
      </w:pPr>
    </w:p>
    <w:p w:rsidR="00BD03D7" w:rsidRDefault="001D7442">
      <w:pPr>
        <w:pStyle w:val="ConsPlusNormal0"/>
        <w:ind w:firstLine="540"/>
        <w:jc w:val="both"/>
      </w:pPr>
      <w:r>
        <w:t>Критериями доступности медицинской помощи являются: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удовлетворенность населения доступностью медицинской помощи, в том числе городского и сельского населения (процентов числа опрошенных) - 58%;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расходов на оказание медицинской помощи в условиях дневны</w:t>
      </w:r>
      <w:r>
        <w:t>х стационаров в общих расходах на Программу госгарантий - 8,7%;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Программу госгарантий - 2%;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пациентов, получивших специализированную медицинску</w:t>
      </w:r>
      <w:r>
        <w:t>ю помощь в стационарных условиях в медицинских организациях, функции и полномочия учредителей в отношении которых осуществляют Правительство Российской Федерации или органы исполнительной власти, в общем числе пациентов, которым была оказана специализирова</w:t>
      </w:r>
      <w:r>
        <w:t>нная медицинская помощь в стационарных условиях в рамках Территориальной программы ОМС: 2025 год - 1,65%; 2026 год - 1,65%; 2027 год - 1,65%;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</w:t>
      </w:r>
      <w:r>
        <w:t>ю в общем количестве посещений по паллиативной медицинской помощи детскому населению: 2025 год - 52%; 2026 год - 54%; 2027 год - 54%;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Рязанско</w:t>
      </w:r>
      <w:r>
        <w:t>й области, на территории которой указанные пациенты зарегистрированы по месту жительства: 2025 год - 100%; 2026 год - 100%; 2027 год - 100%;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 xml:space="preserve">число пациентов, зарегистрированных на территории Рязанской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</w:t>
      </w:r>
      <w:r>
        <w:lastRenderedPageBreak/>
        <w:t>межрегионально</w:t>
      </w:r>
      <w:r>
        <w:t>го соглашения: 2025 год - 0%; 2026 год - 0%; 2027 год - 0%;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заболеваниями: 2025</w:t>
      </w:r>
      <w:r>
        <w:t xml:space="preserve"> год - 9,7%; 2026 год - 9,7%; 2027 год - 9,7%;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наблюдения: 2025 г</w:t>
      </w:r>
      <w:r>
        <w:t>од - 65,5%; 2026 год - 65,5%; 2027 год - 66,0%;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граждан: 2025 год - 100%; 2026 год - 100%; 2027 год - 100%;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детей в возрасте от 2 до 17 лет с диагнозом "сахар</w:t>
      </w:r>
      <w:r>
        <w:t>ный диабет", обеспеченных медицинскими изделиями для непрерывного мониторинга уровня глюкозы в крови: 2025 год - 95%; 2026 год - 95%; 2027 год - 95%.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 xml:space="preserve">число случаев лечения в стационарных условиях на одну занятую должность врача медицинского подразделения, </w:t>
      </w:r>
      <w:r>
        <w:t>оказывающего специализированную, в том числе высокотехнологичную, медицинскую помощь: 2025 год - 75; 2026 год - 75; 2027 год - 75;</w:t>
      </w:r>
    </w:p>
    <w:p w:rsidR="00BD03D7" w:rsidRDefault="001D7442">
      <w:pPr>
        <w:pStyle w:val="ConsPlusNormal0"/>
        <w:jc w:val="both"/>
      </w:pPr>
      <w:r>
        <w:t xml:space="preserve">(абзац введен </w:t>
      </w:r>
      <w:hyperlink r:id="rId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оперативная активность на одну занятую должность врача хирургической специальности: 2025 год - 90; 2026 год - 90; 2027 год - 90.</w:t>
      </w:r>
    </w:p>
    <w:p w:rsidR="00BD03D7" w:rsidRDefault="001D7442">
      <w:pPr>
        <w:pStyle w:val="ConsPlusNormal0"/>
        <w:jc w:val="both"/>
      </w:pPr>
      <w:r>
        <w:t xml:space="preserve">(абзац введен </w:t>
      </w:r>
      <w:hyperlink r:id="rId8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Критериями качества медицинской помощи являются: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вперв</w:t>
      </w:r>
      <w:r>
        <w:t>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года: 2025 год - 9,4%; 2026 год - 9,4%; 2027 год - 9,4%;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впервые выя</w:t>
      </w:r>
      <w:r>
        <w:t>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несовершеннолетних: 2025 год - 5,1%; 2026 год - 5,3%; 2027 год - 5,5%;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впервые выявленн</w:t>
      </w:r>
      <w:r>
        <w:t>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года: 2025 год - 3,8%; 2026 год - 3,8%; 2027 год - 3,8</w:t>
      </w:r>
      <w:r>
        <w:t>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осмотры: 2025 год - 63,4%; 2026 год - 63,4%; 2027 год - 63,4%;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</w:t>
      </w:r>
      <w:r>
        <w:t>ов со злокачественными новообразованиями, взятых под диспансерное наблюдение, в общем количестве пациентов со злокачественными новообразованиями: 2025 год - 61,5%; 2026 год - 61,5%; 2027 год - 61,5%;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lastRenderedPageBreak/>
        <w:t>доля пациентов с инфарктом миокарда, госпитализированных</w:t>
      </w:r>
      <w:r>
        <w:t xml:space="preserve"> в первые 12 часов от начала заболевания, в общем количестве госпитализированных пациентов с инфарктом миокарда: 2025 год - 84%; 2026 год - 88%; 2027 год - 90%;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пациентов с острым инфарктом миокарда, которым проведено стентирование коронарных артерий,</w:t>
      </w:r>
      <w:r>
        <w:t xml:space="preserve"> в общем количестве пациентов с острым инфарктом миокарда, имеющих показания к его проведению: 2025 год - 85%; 2026 год - 87%; 2027 год - 90%;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</w:t>
      </w:r>
      <w:r>
        <w:t>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помощи: 2025 год - 22%; 2026 год - 23%; 2027 год - 25%;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</w:t>
      </w:r>
      <w:r>
        <w:t>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проведению: 2025 год - 22%; 2026 год - 23%; 2027 г</w:t>
      </w:r>
      <w:r>
        <w:t>од - 25%;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Программой: 2025 год - 50%; 2026 год - 51%; 2027 год - 52%;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</w:t>
      </w:r>
      <w:r>
        <w:t>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</w:t>
      </w:r>
      <w:r>
        <w:t>олезнями: 2025 год - 47%; 2026 год - 48%; 2027 год - 49%;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</w:t>
      </w:r>
      <w:r>
        <w:t>еления или региональные сосудистые центры в первые 6 часов от начала заболевания: 2025 год - 42%; 2026 год - 45%; 2027 год - 48%;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</w:t>
      </w:r>
      <w:r>
        <w:t>ым ишемическим инсультом, госпитализированных в первичные сосудистые отделения или региональные сосудистые центры: 2025 год - 10%; 2026 год - 11%; 2027 год - 12%;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</w:t>
      </w:r>
      <w:r>
        <w:t xml:space="preserve"> общем количестве пациентов, нуждающихся в обезболивании при оказании паллиативной медицинской помощи: 2025 год - 100%; 2026 год - 100%; 2027 год - 100%;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пациентов, получающих лечебное (энтеральное) питание в рамках оказания паллиативной медицинской п</w:t>
      </w:r>
      <w:r>
        <w:t>омощи, в общем количестве пациентов, нуждающихся в лечебном (энтеральном) питании при оказании паллиативной медицинской помощи: 2025 год - 100%; 2026 год - 100%; 2027 год - 100%;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 xml:space="preserve">доля лиц репродуктивного возраста, прошедших диспансеризацию для оценки </w:t>
      </w:r>
      <w:r>
        <w:lastRenderedPageBreak/>
        <w:t>репро</w:t>
      </w:r>
      <w:r>
        <w:t>дуктивного здоровья женщин и мужчин (отдельно по мужчинам и женщинам): 2025 год - 34,0% (мужчины - 34,2%, женщины - 33,9%); 2026 год - 37,2% (мужчины - 37,4%, женщины - 37,1%); 2027 год - 40,4% (мужчины - 40,6%, женщины - 40,2%);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пациентов, обследован</w:t>
      </w:r>
      <w:r>
        <w:t xml:space="preserve">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</w:t>
      </w:r>
      <w:hyperlink r:id="rId9" w:tooltip="&quot;Клинические рекомендации &quot;Женское бесплодие&quot; (одобрены Минздравом России) {КонсультантПлюс}">
        <w:r>
          <w:rPr>
            <w:color w:val="0000FF"/>
          </w:rPr>
          <w:t>рекомендаций</w:t>
        </w:r>
      </w:hyperlink>
      <w:r>
        <w:t>"Женское бесплодие": 2025 год - 100%; 2026 год - 100%; 2027 год - 100%;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число циклов экстракорпорального оплодотворения, выполняемых медицинской организацией, в течение одного года; 2025 год - не менее 100 циклов; 2026 год - не менее 100 циклов; 2027 год - не менее 100 циклов;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случаев экстракорпорального оплодотворения, п</w:t>
      </w:r>
      <w:r>
        <w:t>о результатам которого у женщины наступила беременность 2025 год - 30%; 2026 год - 31%; 2027 год - 32%;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</w:t>
      </w:r>
      <w:r>
        <w:t>бщем числе женщин, которым были проведены процедуры экстракорпорального оплодотворения (циклы с переносом эмбрионов): 2025 год - 21%; 2026 год - 22%; 2027 год - 23%;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количество обоснованных жалоб, в том числе на несоблюдение сроков ожидания оказания и на о</w:t>
      </w:r>
      <w:r>
        <w:t>тказ в оказании медицинской помощи, предоставляемой в рамках Программы госгарантий - 5,6 на 100 тыс. населения;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10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год: 2025 год - 50%; 2026 г</w:t>
      </w:r>
      <w:r>
        <w:t>од - 52%; 2027 год - 54%;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обеспечение: 2025 год - 95%; 2026 год - 95%; 2027 год - 95%;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охват диспансерным наблюдением гра</w:t>
      </w:r>
      <w:r>
        <w:t>ждан, состоящих на учете в медицинской организации с диагнозом "гипертоническая болезнь", процентов в год: 2025 год - 30%; 2026 год - 34%; 2027 год - 38%;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</w:t>
      </w:r>
      <w:r>
        <w:t>арный диабет", процентов в год: 2025 год - 70%; 2026 год - 70%; 2027 год - 70%;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количество пациентов с гепатитом С, получивших противовирусную терапию, на 100 тыс. населения в год: 2025 год - 30; 2026 год - 31; 2027 год - 32;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ветеранов боевых действий</w:t>
      </w:r>
      <w:r>
        <w:t>, получивших паллиативную медицинскую помощь и (или) лечебное (энтеральное) питание, из числа нуждающихся 2025 год - 100%; 2026 год - 100%; 2027 год - 100%;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lastRenderedPageBreak/>
        <w:t xml:space="preserve">доля пациентов, прооперированных в течение 2 дней после поступления в стационар по поводу перелома </w:t>
      </w:r>
      <w:r>
        <w:t>шейки бедра, от всех прооперированных по поводу указанного диагноза: 2025 год - 5%; 2026 год - 5%; 2027 год - 5%;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доля лиц старше 65 лет, которым проведена противопневмококковая вакцинация (13-валентной и/или 23-валентной вакциной): 13-валентной 2025 - 4,3</w:t>
      </w:r>
      <w:r>
        <w:t>%; 2026 год - 4,4%; 2027 год - 4,5%.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Критерии эффективности деятельности медицинских организаций, в том числе расположенных в городской и сельской местности: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выполнение функции врачебной должности: 2025 год - не менее 94%, в том числе в организациях, распо</w:t>
      </w:r>
      <w:r>
        <w:t>ложенных в городах, - не менее 94%, в сельской местности - не менее 86%; 2026 год - не менее 95%, в том числе в организациях, расположенных в городах, - не менее 95%, в сельской местности - не менее 86%; 2027 год - не менее 95%, в том числе в организациях,</w:t>
      </w:r>
      <w:r>
        <w:t xml:space="preserve"> расположенных в городах, - не менее 95%, в сельской местности - не менее 86%;</w:t>
      </w:r>
    </w:p>
    <w:p w:rsidR="00BD03D7" w:rsidRDefault="001D7442">
      <w:pPr>
        <w:pStyle w:val="ConsPlusNormal0"/>
        <w:spacing w:before="240"/>
        <w:ind w:firstLine="540"/>
        <w:jc w:val="both"/>
      </w:pPr>
      <w:r>
        <w:t>использование коечного фонда: 2025 год - 330 дней в году, в том числе в медицинских организациях, расположенных в городской местности - 330 дней в году, в сельской местности - 3</w:t>
      </w:r>
      <w:r>
        <w:t>30 дней в году, 2026 год - 330 дней в году, в том числе в медицинских организациях, расположенных в городской местности - 330 дней в году, в сельской местности - 330 дней в году, 2027 год - 330 дней в году, в том числе в медицинских организациях, расположе</w:t>
      </w:r>
      <w:r>
        <w:t>нных в городской местности - 330 дней в году, в сельской местности - 330 дней в году.</w:t>
      </w:r>
    </w:p>
    <w:p w:rsidR="00BD03D7" w:rsidRDefault="00BD03D7">
      <w:pPr>
        <w:pStyle w:val="ConsPlusNormal0"/>
        <w:jc w:val="both"/>
      </w:pPr>
    </w:p>
    <w:p w:rsidR="00BD03D7" w:rsidRDefault="00BD03D7">
      <w:pPr>
        <w:pStyle w:val="ConsPlusNormal0"/>
        <w:jc w:val="both"/>
      </w:pPr>
    </w:p>
    <w:p w:rsidR="00BD03D7" w:rsidRDefault="00BD03D7">
      <w:pPr>
        <w:pStyle w:val="ConsPlusNormal0"/>
        <w:jc w:val="both"/>
      </w:pPr>
    </w:p>
    <w:p w:rsidR="00BD03D7" w:rsidRDefault="00BD03D7">
      <w:pPr>
        <w:pStyle w:val="ConsPlusNormal0"/>
        <w:jc w:val="both"/>
      </w:pPr>
    </w:p>
    <w:p w:rsidR="00BD03D7" w:rsidRDefault="00BD03D7">
      <w:pPr>
        <w:pStyle w:val="ConsPlusNormal0"/>
        <w:jc w:val="both"/>
      </w:pPr>
    </w:p>
    <w:sectPr w:rsidR="00BD03D7" w:rsidSect="00BD03D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42" w:rsidRDefault="001D7442" w:rsidP="00BD03D7">
      <w:r>
        <w:separator/>
      </w:r>
    </w:p>
  </w:endnote>
  <w:endnote w:type="continuationSeparator" w:id="1">
    <w:p w:rsidR="001D7442" w:rsidRDefault="001D7442" w:rsidP="00BD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D7" w:rsidRDefault="00BD03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BD03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D03D7" w:rsidRDefault="001D74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D03D7" w:rsidRDefault="00BD03D7">
          <w:pPr>
            <w:pStyle w:val="ConsPlusNormal0"/>
            <w:jc w:val="center"/>
          </w:pPr>
          <w:hyperlink r:id="rId1">
            <w:r w:rsidR="001D744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D03D7" w:rsidRDefault="001D744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BD03D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D03D7">
            <w:fldChar w:fldCharType="separate"/>
          </w:r>
          <w:r w:rsidR="009A3D3B">
            <w:rPr>
              <w:rFonts w:ascii="Tahoma" w:hAnsi="Tahoma" w:cs="Tahoma"/>
              <w:noProof/>
            </w:rPr>
            <w:t>5</w:t>
          </w:r>
          <w:r w:rsidR="00BD03D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D03D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D03D7">
            <w:fldChar w:fldCharType="separate"/>
          </w:r>
          <w:r w:rsidR="009A3D3B">
            <w:rPr>
              <w:rFonts w:ascii="Tahoma" w:hAnsi="Tahoma" w:cs="Tahoma"/>
              <w:noProof/>
            </w:rPr>
            <w:t>5</w:t>
          </w:r>
          <w:r w:rsidR="00BD03D7">
            <w:fldChar w:fldCharType="end"/>
          </w:r>
        </w:p>
      </w:tc>
    </w:tr>
  </w:tbl>
  <w:p w:rsidR="00BD03D7" w:rsidRDefault="001D744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D7" w:rsidRDefault="00BD03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BD03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D03D7" w:rsidRDefault="001D74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D03D7" w:rsidRDefault="00BD03D7">
          <w:pPr>
            <w:pStyle w:val="ConsPlusNormal0"/>
            <w:jc w:val="center"/>
          </w:pPr>
          <w:hyperlink r:id="rId1">
            <w:r w:rsidR="001D744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D03D7" w:rsidRDefault="001D744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BD03D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D03D7">
            <w:fldChar w:fldCharType="separate"/>
          </w:r>
          <w:r w:rsidR="009A3D3B">
            <w:rPr>
              <w:rFonts w:ascii="Tahoma" w:hAnsi="Tahoma" w:cs="Tahoma"/>
              <w:noProof/>
            </w:rPr>
            <w:t>1</w:t>
          </w:r>
          <w:r w:rsidR="00BD03D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D03D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D03D7">
            <w:fldChar w:fldCharType="separate"/>
          </w:r>
          <w:r w:rsidR="009A3D3B">
            <w:rPr>
              <w:rFonts w:ascii="Tahoma" w:hAnsi="Tahoma" w:cs="Tahoma"/>
              <w:noProof/>
            </w:rPr>
            <w:t>5</w:t>
          </w:r>
          <w:r w:rsidR="00BD03D7">
            <w:fldChar w:fldCharType="end"/>
          </w:r>
        </w:p>
      </w:tc>
    </w:tr>
  </w:tbl>
  <w:p w:rsidR="00BD03D7" w:rsidRDefault="001D744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42" w:rsidRDefault="001D7442" w:rsidP="00BD03D7">
      <w:r>
        <w:separator/>
      </w:r>
    </w:p>
  </w:footnote>
  <w:footnote w:type="continuationSeparator" w:id="1">
    <w:p w:rsidR="001D7442" w:rsidRDefault="001D7442" w:rsidP="00BD0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D03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D03D7" w:rsidRDefault="001D74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BD03D7" w:rsidRDefault="001D74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BD03D7" w:rsidRDefault="00BD03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D03D7" w:rsidRDefault="00BD03D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D03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D03D7" w:rsidRDefault="001D74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BD03D7" w:rsidRDefault="001D74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BD03D7" w:rsidRDefault="00BD03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D03D7" w:rsidRDefault="00BD03D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3D7"/>
    <w:rsid w:val="001D7442"/>
    <w:rsid w:val="009A3D3B"/>
    <w:rsid w:val="00BD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3D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BD03D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03D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BD03D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D03D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BD03D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D03D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D03D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BD03D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BD03D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BD03D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D03D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BD03D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D03D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BD03D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D03D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D03D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BD03D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3D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59339&amp;date=10.07.2025&amp;dst=100114&amp;field=134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459339&amp;date=10.07.2025&amp;dst=100112&amp;field=13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9339&amp;date=10.07.2025&amp;dst=100112&amp;field=1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3&amp;n=459339&amp;date=10.07.2025&amp;dst=1001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1536&amp;date=10.07.202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2011</Words>
  <Characters>11465</Characters>
  <Application>Microsoft Office Word</Application>
  <DocSecurity>0</DocSecurity>
  <Lines>95</Lines>
  <Paragraphs>26</Paragraphs>
  <ScaleCrop>false</ScaleCrop>
  <Company>КонсультантПлюс Версия 4024.00.50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2025-07-10T08:56:00Z</dcterms:modified>
</cp:coreProperties>
</file>